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5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1"/>
        <w:spacing w:line="297" w:lineRule="auto" w:before="149"/>
        <w:ind w:left="720"/>
      </w:pPr>
      <w:r>
        <w:t>Wind101A是一个完整的系统，可以精确测量和记录风速。</w:t>
      </w:r>
      <w:r>
        <w:rPr>
          <w:spacing w:val="-9"/>
        </w:rPr>
        <w:t>这种</w:t>
      </w:r>
      <w:r>
        <w:t>低成本的风速记录系统配备了一个数据记录器，防</w:t>
        <w:softHyphen/>
        <w:t>风雨外壳，三杯风速计和所有必要的电缆，以快速</w:t>
      </w:r>
      <w:r>
        <w:rPr>
          <w:spacing w:val="-2"/>
        </w:rPr>
        <w:t>启动和运行。该记录仪可以记录超过1，000，000个读数，存储介质</w:t>
      </w:r>
      <w:r>
        <w:t>是</w:t>
      </w:r>
      <w:r>
        <w:t>非易失性</w:t>
      </w:r>
      <w:r>
        <w:t>固态</w:t>
      </w:r>
      <w:r>
        <w:t>存储器，</w:t>
      </w:r>
      <w:r>
        <w:t>即使</w:t>
      </w:r>
      <w:r>
        <w:t>电池放电也能提供最大的数据安全性。使用MadgeTech软件可以直接从计算机启动和停止设备。</w:t>
      </w:r>
    </w:p>
    <w:p>
      <w:pPr>
        <w:pStyle w:val="Heading1"/>
        <w:spacing w:before="136"/>
        <w:ind w:left="349"/>
      </w:pPr>
      <w:r>
        <w:br w:type="column"/>
      </w:r>
      <w:r>
        <w:rPr>
          <w:color w:val="002A5C"/>
          <w:spacing w:val="-2"/>
          <w:w w:val="110"/>
        </w:rPr>
        <w:t>特征</w:t>
      </w:r>
    </w:p>
    <w:p>
      <w:pPr>
        <w:pStyle w:val="P68B1DB1-ListParagraph2"/>
        <w:numPr>
          <w:ilvl w:val="0"/>
          <w:numId w:val="1"/>
        </w:numPr>
        <w:tabs>
          <w:tab w:pos="528" w:val="left" w:leader="none"/>
        </w:tabs>
        <w:spacing w:line="240" w:lineRule="auto" w:before="110" w:after="0"/>
        <w:ind w:left="528" w:right="0" w:hanging="179"/>
        <w:jc w:val="left"/>
        <w:rPr>
          <w:sz w:val="20"/>
        </w:rPr>
      </w:pPr>
      <w:r>
        <w:rPr>
          <w:spacing w:val="-2"/>
        </w:rPr>
        <w:t>用于伐木机的</w:t>
      </w:r>
    </w:p>
    <w:p>
      <w:pPr>
        <w:pStyle w:val="P68B1DB1-ListParagraph2"/>
        <w:numPr>
          <w:ilvl w:val="0"/>
          <w:numId w:val="1"/>
        </w:numPr>
        <w:tabs>
          <w:tab w:pos="528" w:val="left" w:leader="none"/>
        </w:tabs>
        <w:spacing w:line="240" w:lineRule="auto" w:before="36" w:after="0"/>
        <w:ind w:left="528" w:right="0" w:hanging="179"/>
        <w:jc w:val="left"/>
        <w:rPr>
          <w:sz w:val="20"/>
        </w:rPr>
      </w:pPr>
      <w:r>
        <w:t>3杯</w:t>
      </w:r>
      <w:r>
        <w:rPr>
          <w:spacing w:val="-2"/>
        </w:rPr>
        <w:t>风速计</w:t>
      </w:r>
    </w:p>
    <w:p>
      <w:pPr>
        <w:pStyle w:val="P68B1DB1-ListParagraph2"/>
        <w:numPr>
          <w:ilvl w:val="0"/>
          <w:numId w:val="1"/>
        </w:numPr>
        <w:tabs>
          <w:tab w:pos="528" w:val="left" w:leader="none"/>
        </w:tabs>
        <w:spacing w:line="240" w:lineRule="auto" w:before="36" w:after="0"/>
        <w:ind w:left="528" w:right="0" w:hanging="179"/>
        <w:jc w:val="left"/>
        <w:rPr>
          <w:sz w:val="20"/>
        </w:rPr>
      </w:pPr>
      <w:r>
        <w:rPr>
          <w:spacing w:val="-4"/>
        </w:rPr>
        <w:t xml:space="preserve">0至100 MPH（0至160 KPH）范围</w:t>
      </w:r>
    </w:p>
    <w:p>
      <w:pPr>
        <w:pStyle w:val="P68B1DB1-ListParagraph2"/>
        <w:numPr>
          <w:ilvl w:val="0"/>
          <w:numId w:val="1"/>
        </w:numPr>
        <w:tabs>
          <w:tab w:pos="529" w:val="left" w:leader="none"/>
        </w:tabs>
        <w:spacing w:line="276" w:lineRule="auto" w:before="36" w:after="0"/>
        <w:ind w:left="529" w:right="928" w:hanging="180"/>
        <w:jc w:val="left"/>
        <w:rPr>
          <w:sz w:val="20"/>
        </w:rPr>
      </w:pPr>
      <w:r>
        <w:rPr>
          <w:spacing w:val="-2"/>
        </w:rPr>
        <w:t>0.085</w:t>
      </w:r>
      <w:r>
        <w:rPr>
          <w:spacing w:val="-2"/>
        </w:rPr>
        <w:t>MPH</w:t>
      </w:r>
      <w:r>
        <w:rPr>
          <w:spacing w:val="-2"/>
        </w:rPr>
        <w:t>分辨率</w:t>
      </w:r>
      <w:r>
        <w:rPr>
          <w:spacing w:val="-2"/>
        </w:rPr>
        <w:t>（</w:t>
      </w:r>
      <w:r>
        <w:rPr>
          <w:spacing w:val="-2"/>
        </w:rPr>
        <w:t>10</w:t>
      </w:r>
      <w:r>
        <w:rPr>
          <w:spacing w:val="-2"/>
        </w:rPr>
        <w:t>秒</w:t>
      </w:r>
      <w:r>
        <w:t>采样率）</w:t>
      </w:r>
    </w:p>
    <w:p>
      <w:pPr>
        <w:pStyle w:val="P68B1DB1-ListParagraph2"/>
        <w:numPr>
          <w:ilvl w:val="0"/>
          <w:numId w:val="1"/>
        </w:numPr>
        <w:tabs>
          <w:tab w:pos="529" w:val="left" w:leader="none"/>
        </w:tabs>
        <w:spacing w:line="276" w:lineRule="auto" w:before="0" w:after="0"/>
        <w:ind w:left="529" w:right="936" w:hanging="180"/>
        <w:jc w:val="left"/>
        <w:rPr>
          <w:sz w:val="20"/>
        </w:rPr>
      </w:pPr>
      <w:r>
        <w:rPr>
          <w:spacing w:val="-2"/>
        </w:rPr>
        <w:t>在</w:t>
      </w:r>
      <w:r>
        <w:rPr>
          <w:spacing w:val="-2"/>
        </w:rPr>
        <w:t>10</w:t>
      </w:r>
      <w:r>
        <w:rPr>
          <w:spacing w:val="-2"/>
        </w:rPr>
        <w:t>至</w:t>
      </w:r>
      <w:r>
        <w:t xml:space="preserve">100 MPH（16至160 KPH）范围内</w:t>
      </w:r>
      <w:r>
        <w:rPr>
          <w:spacing w:val="-2"/>
        </w:rPr>
        <w:t>，校准</w:t>
      </w:r>
      <w:r>
        <w:rPr>
          <w:spacing w:val="-2"/>
        </w:rPr>
        <w:t>精度为</w:t>
      </w:r>
      <w:r>
        <w:rPr>
          <w:spacing w:val="-2"/>
        </w:rPr>
        <w:t>±2.5%</w:t>
      </w:r>
    </w:p>
    <w:p>
      <w:pPr>
        <w:pStyle w:val="P68B1DB1-ListParagraph2"/>
        <w:numPr>
          <w:ilvl w:val="0"/>
          <w:numId w:val="1"/>
        </w:numPr>
        <w:tabs>
          <w:tab w:pos="528" w:val="left" w:leader="none"/>
        </w:tabs>
        <w:spacing w:line="243" w:lineRule="exact" w:before="0" w:after="0"/>
        <w:ind w:left="528" w:right="0" w:hanging="179"/>
        <w:jc w:val="left"/>
        <w:rPr>
          <w:sz w:val="20"/>
        </w:rPr>
      </w:pPr>
      <w:r>
        <w:t>1秒读取</w:t>
      </w:r>
      <w:r>
        <w:rPr>
          <w:spacing w:val="-4"/>
        </w:rPr>
        <w:t>速率</w:t>
      </w:r>
    </w:p>
    <w:p>
      <w:pPr>
        <w:pStyle w:val="P68B1DB1-ListParagraph2"/>
        <w:numPr>
          <w:ilvl w:val="0"/>
          <w:numId w:val="1"/>
        </w:numPr>
        <w:tabs>
          <w:tab w:pos="528" w:val="left" w:leader="none"/>
        </w:tabs>
        <w:spacing w:line="240" w:lineRule="auto" w:before="34" w:after="0"/>
        <w:ind w:left="528" w:right="0" w:hanging="179"/>
        <w:jc w:val="left"/>
        <w:rPr>
          <w:sz w:val="20"/>
        </w:rPr>
      </w:pPr>
      <w:r>
        <w:rPr>
          <w:spacing w:val="-4"/>
        </w:rPr>
        <w:t>多重启动/停止功能</w:t>
      </w:r>
    </w:p>
    <w:p>
      <w:pPr>
        <w:pStyle w:val="P68B1DB1-ListParagraph2"/>
        <w:numPr>
          <w:ilvl w:val="0"/>
          <w:numId w:val="1"/>
        </w:numPr>
        <w:tabs>
          <w:tab w:pos="528" w:val="left" w:leader="none"/>
        </w:tabs>
        <w:spacing w:line="240" w:lineRule="auto" w:before="36" w:after="0"/>
        <w:ind w:left="528" w:right="0" w:hanging="179"/>
        <w:jc w:val="left"/>
        <w:rPr>
          <w:sz w:val="20"/>
        </w:rPr>
      </w:pPr>
      <w:r>
        <w:t>超高速</w:t>
      </w:r>
      <w:r>
        <w:rPr>
          <w:spacing w:val="-2"/>
        </w:rPr>
        <w:t>下载</w:t>
      </w:r>
    </w:p>
    <w:p>
      <w:pPr>
        <w:pStyle w:val="P68B1DB1-ListParagraph2"/>
        <w:numPr>
          <w:ilvl w:val="0"/>
          <w:numId w:val="1"/>
        </w:numPr>
        <w:tabs>
          <w:tab w:pos="528" w:val="left" w:leader="none"/>
        </w:tabs>
        <w:spacing w:line="240" w:lineRule="auto" w:before="36" w:after="0"/>
        <w:ind w:left="528" w:right="0" w:hanging="179"/>
        <w:jc w:val="left"/>
        <w:rPr>
          <w:sz w:val="20"/>
        </w:rPr>
      </w:pPr>
      <w:r>
        <w:rPr>
          <w:spacing w:val="-4"/>
        </w:rPr>
        <w:t>1，047，552读取存储容量</w:t>
      </w:r>
    </w:p>
    <w:p>
      <w:pPr>
        <w:pStyle w:val="P68B1DB1-ListParagraph2"/>
        <w:numPr>
          <w:ilvl w:val="0"/>
          <w:numId w:val="1"/>
        </w:numPr>
        <w:tabs>
          <w:tab w:pos="528" w:val="left" w:leader="none"/>
        </w:tabs>
        <w:spacing w:line="240" w:lineRule="auto" w:before="36" w:after="0"/>
        <w:ind w:left="528" w:right="0" w:hanging="179"/>
        <w:jc w:val="left"/>
        <w:rPr>
          <w:sz w:val="20"/>
        </w:rPr>
      </w:pPr>
      <w:r>
        <w:rPr>
          <w:spacing w:val="-2"/>
        </w:rPr>
        <w:t>电池寿命指示器</w:t>
      </w:r>
    </w:p>
    <w:p>
      <w:pPr>
        <w:pStyle w:val="P68B1DB1-ListParagraph2"/>
        <w:numPr>
          <w:ilvl w:val="0"/>
          <w:numId w:val="1"/>
        </w:numPr>
        <w:tabs>
          <w:tab w:pos="528" w:val="left" w:leader="none"/>
        </w:tabs>
        <w:spacing w:line="240" w:lineRule="auto" w:before="36" w:after="0"/>
        <w:ind w:left="528" w:right="0" w:hanging="179"/>
        <w:jc w:val="left"/>
        <w:rPr>
          <w:sz w:val="20"/>
        </w:rPr>
      </w:pPr>
      <w:r>
        <w:rPr>
          <w:spacing w:val="-2"/>
        </w:rPr>
        <w:t>可选密码保护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771" w:space="40"/>
            <w:col w:w="4429"/>
          </w:cols>
        </w:sectPr>
      </w:pPr>
    </w:p>
    <w:p>
      <w:pPr>
        <w:pStyle w:val="P68B1DB1-BodyText3"/>
        <w:tabs>
          <w:tab w:pos="7799" w:val="left" w:leader="none"/>
          <w:tab w:pos="8159" w:val="left" w:leader="none"/>
        </w:tabs>
        <w:spacing w:before="35"/>
        <w:ind w:left="720"/>
      </w:pPr>
      <w:r>
        <w:rPr>
          <w:u w:val="single" w:color="5C81AE"/>
        </w:rPr>
        <w:tab/>
      </w:r>
      <w:r>
        <w:tab/>
      </w:r>
      <w:r>
        <w:rPr>
          <w:w w:val="95"/>
        </w:rPr>
        <w:t>·</w:t>
      </w:r>
      <w:r>
        <w:t>现场</w:t>
      </w:r>
      <w:r>
        <w:rPr>
          <w:spacing w:val="-2"/>
        </w:rPr>
        <w:t>可升级</w:t>
      </w: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spacing w:before="90"/>
        <w:ind w:left="705" w:right="0" w:firstLine="0"/>
        <w:jc w:val="left"/>
        <w:rPr>
          <w:rFonts w:ascii="Tahoma"/>
          <w:sz w:val="28"/>
        </w:rPr>
        <w:pStyle w:val="P68B1DB1-Normal4"/>
      </w:pPr>
      <w:r>
        <w:rPr>
          <w:spacing w:val="-4"/>
        </w:rPr>
        <w:t xml:space="preserve">MadgeTech 4软件功能</w:t>
      </w:r>
    </w:p>
    <w:p>
      <w:pPr>
        <w:spacing w:line="240" w:lineRule="auto" w:before="0"/>
        <w:rPr>
          <w:rFonts w:ascii="Tahoma"/>
          <w:sz w:val="19"/>
        </w:rPr>
      </w:pPr>
      <w:r>
        <w:br w:type="column"/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34"/>
        <w:rPr>
          <w:rFonts w:ascii="Tahoma"/>
          <w:sz w:val="19"/>
        </w:rPr>
      </w:pPr>
    </w:p>
    <w:p>
      <w:pPr>
        <w:spacing w:before="0"/>
        <w:ind w:left="705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448055</wp:posOffset>
                </wp:positionH>
                <wp:positionV relativeFrom="paragraph">
                  <wp:posOffset>-751032</wp:posOffset>
                </wp:positionV>
                <wp:extent cx="3481070" cy="243141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3481070" cy="2431415"/>
                          <a:chExt cx="3481070" cy="2431415"/>
                        </a:xfrm>
                      </wpg:grpSpPr>
                      <pic:pic>
                        <pic:nvPicPr>
                          <pic:cNvPr id="2" name="图像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1" y="3345"/>
                            <a:ext cx="3474189" cy="2421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图形3"/>
                        <wps:cNvSpPr/>
                        <wps:spPr>
                          <a:xfrm>
                            <a:off x="3340" y="3340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4275154</wp:posOffset>
                </wp:positionH>
                <wp:positionV relativeFrom="paragraph">
                  <wp:posOffset>347857</wp:posOffset>
                </wp:positionV>
                <wp:extent cx="71120" cy="133350"/>
                <wp:effectExtent l="0" t="0" r="0" b="0"/>
                <wp:wrapNone/>
                <wp:docPr id="4" name="文本框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文本框4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5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pacing w:val="-2"/>
          <w:w w:val="105"/>
          <w:sz w:val="19"/>
        </w:rPr>
        <w:t>统计</w:t>
      </w:r>
    </w:p>
    <w:p>
      <w:pPr>
        <w:pStyle w:val="Heading1"/>
        <w:spacing w:before="269"/>
      </w:pPr>
      <w:r>
        <w:br w:type="column"/>
      </w:r>
      <w:r>
        <w:rPr>
          <w:color w:val="002A5C"/>
          <w:spacing w:val="-2"/>
          <w:w w:val="110"/>
        </w:rPr>
        <w:t>好处</w:t>
      </w:r>
    </w:p>
    <w:p>
      <w:pPr>
        <w:pStyle w:val="ListParagraph"/>
        <w:numPr>
          <w:ilvl w:val="1"/>
          <w:numId w:val="1"/>
        </w:numPr>
        <w:tabs>
          <w:tab w:pos="786" w:val="left" w:leader="none"/>
        </w:tabs>
        <w:spacing w:line="240" w:lineRule="auto" w:before="110" w:after="0"/>
        <w:ind w:left="786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4086694</wp:posOffset>
                </wp:positionH>
                <wp:positionV relativeFrom="paragraph">
                  <wp:posOffset>63231</wp:posOffset>
                </wp:positionV>
                <wp:extent cx="866775" cy="732155"/>
                <wp:effectExtent l="0" t="0" r="0" b="0"/>
                <wp:wrapNone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" name="图像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图7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z w:val="20"/>
        </w:rPr>
        <w:t>简单的设置和</w:t>
      </w:r>
      <w:r>
        <w:rPr>
          <w:color w:val="414042"/>
          <w:spacing w:val="-2"/>
          <w:sz w:val="20"/>
        </w:rPr>
        <w:t>安装</w:t>
      </w:r>
    </w:p>
    <w:p>
      <w:pPr>
        <w:pStyle w:val="P68B1DB1-ListParagraph2"/>
        <w:numPr>
          <w:ilvl w:val="1"/>
          <w:numId w:val="1"/>
        </w:numPr>
        <w:tabs>
          <w:tab w:pos="786" w:val="left" w:leader="none"/>
        </w:tabs>
        <w:spacing w:line="240" w:lineRule="auto" w:before="36" w:after="0"/>
        <w:ind w:left="786" w:right="0" w:hanging="179"/>
        <w:jc w:val="left"/>
        <w:rPr>
          <w:sz w:val="20"/>
        </w:rPr>
      </w:pPr>
      <w:r>
        <w:rPr>
          <w:spacing w:val="-4"/>
        </w:rPr>
        <w:t>最低限度的长期维护</w:t>
      </w:r>
    </w:p>
    <w:p>
      <w:pPr>
        <w:pStyle w:val="P68B1DB1-ListParagraph2"/>
        <w:numPr>
          <w:ilvl w:val="1"/>
          <w:numId w:val="1"/>
        </w:numPr>
        <w:tabs>
          <w:tab w:pos="786" w:val="left" w:leader="none"/>
        </w:tabs>
        <w:spacing w:line="240" w:lineRule="auto" w:before="36" w:after="0"/>
        <w:ind w:left="786" w:right="0" w:hanging="179"/>
        <w:jc w:val="left"/>
        <w:rPr>
          <w:sz w:val="20"/>
        </w:rPr>
      </w:pPr>
      <w:r>
        <w:t>长期实地</w:t>
      </w:r>
      <w:r>
        <w:rPr>
          <w:spacing w:val="-2"/>
        </w:rPr>
        <w:t>部署</w:t>
      </w:r>
    </w:p>
    <w:p>
      <w:pPr>
        <w:pStyle w:val="BodyText"/>
        <w:spacing w:before="24"/>
      </w:pPr>
    </w:p>
    <w:p>
      <w:pPr>
        <w:pStyle w:val="P68B1DB1-Heading16"/>
      </w:pPr>
      <w:r>
        <w:t>应用</w:t>
      </w:r>
    </w:p>
    <w:p>
      <w:pPr>
        <w:pStyle w:val="ListParagraph"/>
        <w:numPr>
          <w:ilvl w:val="1"/>
          <w:numId w:val="1"/>
        </w:numPr>
        <w:tabs>
          <w:tab w:pos="786" w:val="left" w:leader="none"/>
        </w:tabs>
        <w:spacing w:line="240" w:lineRule="auto" w:before="110" w:after="0"/>
        <w:ind w:left="786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4086694</wp:posOffset>
                </wp:positionH>
                <wp:positionV relativeFrom="paragraph">
                  <wp:posOffset>62554</wp:posOffset>
                </wp:positionV>
                <wp:extent cx="866775" cy="732155"/>
                <wp:effectExtent l="0" t="0" r="0" b="0"/>
                <wp:wrapNone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9" name="图像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图10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图11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14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图像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076"/>
                            <a:ext cx="138684" cy="2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图17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图18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形19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图像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图23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图26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图30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图31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图32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图像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图34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图36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图形53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图表54"/>
                        <wps:cNvSpPr/>
                        <wps:spPr>
                          <a:xfrm>
                            <a:off x="663715" y="463342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图像5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4"/>
          <w:sz w:val="20"/>
        </w:rPr>
        <w:t>替代</w:t>
      </w:r>
      <w:r>
        <w:rPr>
          <w:color w:val="414042"/>
          <w:spacing w:val="-4"/>
          <w:sz w:val="20"/>
        </w:rPr>
        <w:t>能源</w:t>
      </w:r>
      <w:r>
        <w:rPr>
          <w:color w:val="414042"/>
          <w:spacing w:val="-4"/>
          <w:sz w:val="20"/>
        </w:rPr>
        <w:t>研究</w:t>
      </w:r>
    </w:p>
    <w:p>
      <w:pPr>
        <w:pStyle w:val="P68B1DB1-ListParagraph7"/>
        <w:numPr>
          <w:ilvl w:val="1"/>
          <w:numId w:val="1"/>
        </w:numPr>
        <w:tabs>
          <w:tab w:pos="786" w:val="left" w:leader="none"/>
        </w:tabs>
        <w:spacing w:line="240" w:lineRule="auto" w:before="36" w:after="0"/>
        <w:ind w:left="786" w:right="0" w:hanging="179"/>
        <w:jc w:val="left"/>
        <w:rPr>
          <w:sz w:val="20"/>
        </w:rPr>
      </w:pPr>
      <w:r>
        <w:t>气象学/气候学</w:t>
      </w:r>
    </w:p>
    <w:p>
      <w:pPr>
        <w:pStyle w:val="P68B1DB1-ListParagraph2"/>
        <w:numPr>
          <w:ilvl w:val="1"/>
          <w:numId w:val="1"/>
        </w:numPr>
        <w:tabs>
          <w:tab w:pos="786" w:val="left" w:leader="none"/>
        </w:tabs>
        <w:spacing w:line="240" w:lineRule="auto" w:before="36" w:after="0"/>
        <w:ind w:left="786" w:right="0" w:hanging="179"/>
        <w:jc w:val="left"/>
        <w:rPr>
          <w:sz w:val="20"/>
        </w:rPr>
      </w:pPr>
      <w:r>
        <w:rPr>
          <w:spacing w:val="-2"/>
        </w:rPr>
        <w:t>风力涡轮机位置评估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3" w:equalWidth="0">
            <w:col w:w="4645" w:space="1373"/>
            <w:col w:w="1495" w:space="39"/>
            <w:col w:w="4688"/>
          </w:cols>
        </w:sectPr>
      </w:pPr>
    </w:p>
    <w:p>
      <w:pPr>
        <w:pStyle w:val="BodyText"/>
        <w:spacing w:before="136"/>
        <w:rPr>
          <w:sz w:val="19"/>
        </w:rPr>
      </w:pPr>
    </w:p>
    <w:p>
      <w:pPr>
        <w:spacing w:before="0"/>
        <w:ind w:left="1995" w:right="0" w:firstLine="0"/>
        <w:jc w:val="center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4086694</wp:posOffset>
                </wp:positionH>
                <wp:positionV relativeFrom="paragraph">
                  <wp:posOffset>203083</wp:posOffset>
                </wp:positionV>
                <wp:extent cx="866775" cy="732155"/>
                <wp:effectExtent l="0" t="0" r="0" b="0"/>
                <wp:wrapNone/>
                <wp:docPr id="56" name="组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组56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7" name="图像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图形58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导出到</w:t>
      </w:r>
      <w:r>
        <w:rPr>
          <w:rFonts w:ascii="Tahoma"/>
          <w:color w:val="898A8D"/>
          <w:spacing w:val="-2"/>
          <w:sz w:val="19"/>
        </w:rPr>
        <w:t>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7"/>
        <w:rPr>
          <w:rFonts w:ascii="Tahoma"/>
        </w:rPr>
      </w:pPr>
    </w:p>
    <w:p>
      <w:pPr>
        <w:spacing w:after="0"/>
        <w:rPr>
          <w:rFonts w:ascii="Tahoma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41"/>
        <w:rPr>
          <w:rFonts w:ascii="Tahoma"/>
        </w:rPr>
      </w:pPr>
    </w:p>
    <w:p>
      <w:pPr>
        <w:pStyle w:val="P68B1DB1-ListParagraph2"/>
        <w:numPr>
          <w:ilvl w:val="2"/>
          <w:numId w:val="1"/>
        </w:numPr>
        <w:tabs>
          <w:tab w:pos="899" w:val="left" w:leader="none"/>
        </w:tabs>
        <w:spacing w:line="242" w:lineRule="exact" w:before="0" w:after="0"/>
        <w:ind w:left="899" w:right="0" w:hanging="179"/>
        <w:jc w:val="left"/>
        <w:rPr>
          <w:sz w:val="20"/>
        </w:rPr>
      </w:pPr>
      <w:r>
        <w:rPr>
          <w:spacing w:val="-4"/>
        </w:rPr>
        <w:t>多图叠加</w:t>
      </w:r>
    </w:p>
    <w:p>
      <w:pPr>
        <w:pStyle w:val="P68B1DB1-ListParagraph7"/>
        <w:numPr>
          <w:ilvl w:val="2"/>
          <w:numId w:val="1"/>
        </w:numPr>
        <w:tabs>
          <w:tab w:pos="899" w:val="left" w:leader="none"/>
        </w:tabs>
        <w:spacing w:line="240" w:lineRule="exact" w:before="0" w:after="0"/>
        <w:ind w:left="899" w:right="0" w:hanging="179"/>
        <w:jc w:val="left"/>
        <w:rPr>
          <w:sz w:val="20"/>
        </w:rPr>
      </w:pPr>
      <w:r>
        <w:t>统计</w:t>
      </w:r>
    </w:p>
    <w:p>
      <w:pPr>
        <w:pStyle w:val="P68B1DB1-ListParagraph7"/>
        <w:numPr>
          <w:ilvl w:val="2"/>
          <w:numId w:val="1"/>
        </w:numPr>
        <w:tabs>
          <w:tab w:pos="899" w:val="left" w:leader="none"/>
        </w:tabs>
        <w:spacing w:line="240" w:lineRule="exact" w:before="0" w:after="0"/>
        <w:ind w:left="899" w:right="0" w:hanging="179"/>
        <w:jc w:val="left"/>
        <w:rPr>
          <w:sz w:val="20"/>
        </w:rPr>
      </w:pPr>
      <w:r>
        <w:t>数字校准</w:t>
      </w:r>
    </w:p>
    <w:p>
      <w:pPr>
        <w:pStyle w:val="P68B1DB1-ListParagraph2"/>
        <w:numPr>
          <w:ilvl w:val="2"/>
          <w:numId w:val="1"/>
        </w:numPr>
        <w:tabs>
          <w:tab w:pos="899" w:val="left" w:leader="none"/>
        </w:tabs>
        <w:spacing w:line="239" w:lineRule="exact" w:before="0" w:after="0"/>
        <w:ind w:left="89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spacing w:before="122"/>
        <w:ind w:left="233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pStyle w:val="BodyText"/>
        <w:spacing w:before="143"/>
        <w:rPr>
          <w:rFonts w:ascii="Tahoma"/>
          <w:sz w:val="19"/>
        </w:rPr>
      </w:pPr>
    </w:p>
    <w:p>
      <w:pPr>
        <w:pStyle w:val="P68B1DB1-ListParagraph2"/>
        <w:numPr>
          <w:ilvl w:val="3"/>
          <w:numId w:val="1"/>
        </w:numPr>
        <w:tabs>
          <w:tab w:pos="1199" w:val="left" w:leader="none"/>
        </w:tabs>
        <w:spacing w:line="242" w:lineRule="exact" w:before="0" w:after="0"/>
        <w:ind w:left="1199" w:right="0" w:hanging="179"/>
        <w:jc w:val="left"/>
        <w:rPr>
          <w:sz w:val="20"/>
        </w:rPr>
      </w:pPr>
      <w:r>
        <w:rPr>
          <w:spacing w:val="-4"/>
        </w:rPr>
        <w:t>平均动力学温度</w:t>
      </w:r>
    </w:p>
    <w:p>
      <w:pPr>
        <w:pStyle w:val="P68B1DB1-ListParagraph2"/>
        <w:numPr>
          <w:ilvl w:val="3"/>
          <w:numId w:val="1"/>
        </w:numPr>
        <w:tabs>
          <w:tab w:pos="1199" w:val="left" w:leader="none"/>
        </w:tabs>
        <w:spacing w:line="240" w:lineRule="exact" w:before="0" w:after="0"/>
        <w:ind w:left="1199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2"/>
        <w:numPr>
          <w:ilvl w:val="3"/>
          <w:numId w:val="1"/>
        </w:numPr>
        <w:tabs>
          <w:tab w:pos="1199" w:val="left" w:leader="none"/>
        </w:tabs>
        <w:spacing w:line="240" w:lineRule="exact" w:before="0" w:after="0"/>
        <w:ind w:left="1199" w:right="0" w:hanging="179"/>
        <w:jc w:val="left"/>
        <w:rPr>
          <w:sz w:val="20"/>
        </w:rPr>
      </w:pPr>
      <w:r>
        <w:rPr>
          <w:spacing w:val="-2"/>
        </w:rPr>
        <w:t>数据注释</w:t>
      </w:r>
    </w:p>
    <w:p>
      <w:pPr>
        <w:pStyle w:val="P68B1DB1-ListParagraph2"/>
        <w:numPr>
          <w:ilvl w:val="3"/>
          <w:numId w:val="1"/>
        </w:numPr>
        <w:tabs>
          <w:tab w:pos="1199" w:val="left" w:leader="none"/>
        </w:tabs>
        <w:spacing w:line="239" w:lineRule="exact" w:before="0" w:after="0"/>
        <w:ind w:left="1199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spacing w:line="240" w:lineRule="auto" w:before="193"/>
        <w:rPr>
          <w:sz w:val="19"/>
        </w:rPr>
      </w:pPr>
      <w:r>
        <w:br w:type="column"/>
      </w:r>
    </w:p>
    <w:p>
      <w:pPr>
        <w:spacing w:before="0"/>
        <w:ind w:left="262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4086694</wp:posOffset>
                </wp:positionH>
                <wp:positionV relativeFrom="paragraph">
                  <wp:posOffset>202976</wp:posOffset>
                </wp:positionV>
                <wp:extent cx="866775" cy="732155"/>
                <wp:effectExtent l="0" t="0" r="0" b="0"/>
                <wp:wrapNone/>
                <wp:docPr id="59" name="组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组59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0" name="图像6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图形61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表格数据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2" w:space="40"/>
            <w:col w:w="3316" w:space="39"/>
            <w:col w:w="6153"/>
          </w:cols>
        </w:sectPr>
      </w:pPr>
    </w:p>
    <w:p>
      <w:pPr>
        <w:pStyle w:val="ListParagraph"/>
        <w:numPr>
          <w:ilvl w:val="2"/>
          <w:numId w:val="1"/>
        </w:numPr>
        <w:tabs>
          <w:tab w:pos="899" w:val="left" w:leader="none"/>
        </w:tabs>
        <w:spacing w:line="243" w:lineRule="exact" w:before="0" w:after="0"/>
        <w:ind w:left="89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73655"/>
                <wp:effectExtent l="0" t="0" r="0" b="0"/>
                <wp:wrapNone/>
                <wp:docPr id="62" name="组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组62"/>
                      <wpg:cNvGrpSpPr/>
                      <wpg:grpSpPr>
                        <a:xfrm>
                          <a:off x="0" y="0"/>
                          <a:ext cx="7772400" cy="2573655"/>
                          <a:chExt cx="7772400" cy="2573655"/>
                        </a:xfrm>
                      </wpg:grpSpPr>
                      <wps:wsp>
                        <wps:cNvPr id="63" name="图形63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1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图形64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图像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3000" y="462254"/>
                            <a:ext cx="2679977" cy="1651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文本框70"/>
                        <wps:cNvSpPr txBox="1"/>
                        <wps:spPr>
                          <a:xfrm>
                            <a:off x="0" y="0"/>
                            <a:ext cx="7772400" cy="2573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ahoma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240" w:lineRule="auto" w:before="46"/>
                                <w:rPr>
                                  <w:rFonts w:ascii="Tahoma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6" w:lineRule="exact" w:before="0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60"/>
                                </w:rPr>
                                <w:pStyle w:val="P68B1DB1-Normal8"/>
                              </w:pPr>
                              <w:r>
                                <w:t>Wind101A</w:t>
                              </w:r>
                            </w:p>
                            <w:p>
                              <w:pPr>
                                <w:spacing w:line="421" w:lineRule="exact" w:before="0"/>
                                <w:ind w:left="720" w:right="0" w:firstLine="0"/>
                                <w:jc w:val="left"/>
                                <w:rPr>
                                  <w:sz w:val="36"/>
                                </w:rPr>
                                <w:pStyle w:val="P68B1DB1-Normal9"/>
                              </w:pPr>
                              <w:r>
                                <w:rPr>
                                  <w:spacing w:val="-2"/>
                                </w:rPr>
                                <w:t>风速数据记录仪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2"/>
          <w:sz w:val="20"/>
        </w:rPr>
        <w:t>致死率</w:t>
      </w:r>
      <w:r>
        <w:rPr>
          <w:color w:val="414042"/>
          <w:spacing w:val="-2"/>
          <w:sz w:val="20"/>
        </w:rPr>
        <w:t>方程</w:t>
      </w:r>
      <w:r>
        <w:rPr>
          <w:color w:val="414042"/>
          <w:spacing w:val="-2"/>
          <w:sz w:val="20"/>
        </w:rPr>
        <w:t>（F0，</w:t>
      </w:r>
      <w:r>
        <w:rPr>
          <w:color w:val="414042"/>
          <w:spacing w:val="-5"/>
          <w:sz w:val="20"/>
        </w:rPr>
        <w:t>PU）</w:t>
      </w:r>
    </w:p>
    <w:p>
      <w:pPr>
        <w:pStyle w:val="ListParagraph"/>
        <w:numPr>
          <w:ilvl w:val="1"/>
          <w:numId w:val="1"/>
        </w:numPr>
        <w:tabs>
          <w:tab w:pos="783" w:val="left" w:leader="none"/>
        </w:tabs>
        <w:spacing w:line="243" w:lineRule="exact" w:before="0" w:after="0"/>
        <w:ind w:left="783" w:right="0" w:hanging="179"/>
        <w:jc w:val="left"/>
        <w:rPr>
          <w:sz w:val="20"/>
        </w:rPr>
      </w:pPr>
      <w:r>
        <w:br w:type="column"/>
      </w:r>
      <w:r>
        <w:rPr>
          <w:color w:val="414042"/>
          <w:sz w:val="20"/>
        </w:rPr>
        <w:t>摘要</w:t>
      </w:r>
      <w:r>
        <w:rPr>
          <w:color w:val="414042"/>
          <w:spacing w:val="-4"/>
          <w:sz w:val="20"/>
        </w:rPr>
        <w:t>视图</w:t>
      </w:r>
    </w:p>
    <w:p>
      <w:pPr>
        <w:spacing w:line="240" w:lineRule="auto" w:before="11"/>
        <w:rPr>
          <w:sz w:val="19"/>
        </w:rPr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10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08" w:space="40"/>
            <w:col w:w="2024" w:space="735"/>
            <w:col w:w="6333"/>
          </w:cols>
        </w:sectPr>
      </w:pPr>
    </w:p>
    <w:p>
      <w:pPr>
        <w:pStyle w:val="BodyText"/>
        <w:rPr>
          <w:rFonts w:ascii="Tahoma"/>
          <w:sz w:val="32"/>
        </w:rPr>
      </w:pPr>
    </w:p>
    <w:p>
      <w:pPr>
        <w:pStyle w:val="BodyText"/>
        <w:spacing w:before="206"/>
        <w:rPr>
          <w:rFonts w:ascii="Tahoma"/>
          <w:sz w:val="32"/>
        </w:rPr>
      </w:pPr>
    </w:p>
    <w:p>
      <w:pPr>
        <w:spacing w:before="0"/>
        <w:ind w:left="725" w:right="0" w:firstLine="0"/>
        <w:jc w:val="lef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ragraph">
                  <wp:posOffset>-626922</wp:posOffset>
                </wp:positionV>
                <wp:extent cx="7772400" cy="427990"/>
                <wp:effectExtent l="0" t="0" r="0" b="0"/>
                <wp:wrapNone/>
                <wp:docPr id="71" name="组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组71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72" name="图表72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1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文本框73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36"/>
                                </w:rPr>
                                <w:pStyle w:val="P68B1DB1-Normal11"/>
                              </w:pPr>
                              <w:r>
                                <w:t>Wind101A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color w:val="002A5C"/>
          <w:spacing w:val="-2"/>
          <w:w w:val="105"/>
          <w:sz w:val="32"/>
        </w:rPr>
        <w:t>规格</w:t>
      </w:r>
    </w:p>
    <w:p>
      <w:pPr>
        <w:spacing w:before="53"/>
        <w:ind w:left="725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420484</wp:posOffset>
                </wp:positionH>
                <wp:positionV relativeFrom="paragraph">
                  <wp:posOffset>1611995</wp:posOffset>
                </wp:positionV>
                <wp:extent cx="3427729" cy="3024504"/>
                <wp:effectExtent l="0" t="0" r="0" b="0"/>
                <wp:wrapNone/>
                <wp:docPr id="74" name="文本框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文本框74"/>
                      <wps:cNvSpPr txBox="1"/>
                      <wps:spPr>
                        <a:xfrm>
                          <a:off x="0" y="0"/>
                          <a:ext cx="3427729" cy="3024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B6C1D8"/>
                                <w:left w:val="single" w:sz="2" w:space="0" w:color="B6C1D8"/>
                                <w:bottom w:val="single" w:sz="2" w:space="0" w:color="B6C1D8"/>
                                <w:right w:val="single" w:sz="2" w:space="0" w:color="B6C1D8"/>
                                <w:insideH w:val="single" w:sz="2" w:space="0" w:color="B6C1D8"/>
                                <w:insideV w:val="single" w:sz="2" w:space="0" w:color="B6C1D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4"/>
                              <w:gridCol w:w="3770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5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5C81AE"/>
                                </w:tcPr>
                                <w:p>
                                  <w:pPr>
                                    <w:pStyle w:val="P68B1DB1-TableParagraph12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3"/>
                                    <w:spacing w:before="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立即开始</w:t>
                                  </w:r>
                                </w:p>
                                <w:p>
                                  <w:pPr>
                                    <w:pStyle w:val="P68B1DB1-TableParagraph14"/>
                                    <w:spacing w:line="244" w:lineRule="auto" w:before="5"/>
                                    <w:ind w:right="1635"/>
                                    <w:rPr>
                                      <w:sz w:val="16"/>
                                    </w:rPr>
                                  </w:pPr>
                                  <w:r>
                                    <w:t>延迟启动长达18个月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多次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重复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启动/停止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before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停止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line="244" w:lineRule="auto"/>
                                    <w:ind w:right="1635"/>
                                    <w:rPr>
                                      <w:sz w:val="16"/>
                                    </w:rPr>
                                  </w:pPr>
                                  <w:r>
                                    <w:t>通过软件手动计时（具体日期和时间）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3"/>
                                    <w:spacing w:line="244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多重启动/停止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4"/>
                                    <w:spacing w:line="244" w:lineRule="auto"/>
                                    <w:ind w:right="32"/>
                                    <w:rPr>
                                      <w:sz w:val="16"/>
                                    </w:rPr>
                                  </w:pPr>
                                  <w:r>
                                    <w:t>多次启动和停止设备，无需下载数据或与PC通信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line="244" w:lineRule="auto"/>
                                    <w:ind w:right="7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实时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记录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line="244" w:lineRule="auto"/>
                                    <w:ind w:right="154"/>
                                    <w:rPr>
                                      <w:sz w:val="16"/>
                                    </w:rPr>
                                  </w:pPr>
                                  <w:r>
                                    <w:t>可与PC机配合使用，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实时</w:t>
                                  </w:r>
                                  <w:r>
                                    <w:t>监控和记录数据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5"/>
                                    <w:spacing w:line="244" w:lineRule="auto" w:before="151"/>
                                    <w:ind w:right="68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密码保护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4"/>
                                    <w:spacing w:line="244" w:lineRule="auto"/>
                                    <w:ind w:right="32"/>
                                    <w:rPr>
                                      <w:sz w:val="16"/>
                                    </w:rPr>
                                  </w:pPr>
                                  <w:r>
                                    <w:t>可将可选密码编程到设备中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，以限制对配置选项的访问。可以</w:t>
                                  </w:r>
                                  <w:r>
                                    <w:t>在没有密码的情况下读取数据。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line="244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1，0475，520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个读数;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可配置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存储器</w:t>
                                  </w:r>
                                  <w:r>
                                    <w:t>在多次启动/停止时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回绕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环绕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t>是的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before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工程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line="244" w:lineRule="auto"/>
                                    <w:ind w:right="1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有关</w:t>
                                  </w:r>
                                  <w:r>
                                    <w:t>如何对风速工程单位进行编程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的说明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，请参阅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Wind101A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产品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用户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指南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个led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2个状态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LED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4"/>
          <w:sz w:val="18"/>
        </w:rPr>
        <w:t>规格</w:t>
      </w:r>
      <w:r>
        <w:rPr>
          <w:color w:val="231F20"/>
          <w:spacing w:val="-1"/>
          <w:sz w:val="18"/>
        </w:rPr>
        <w:t>如有</w:t>
      </w:r>
      <w:r>
        <w:rPr>
          <w:color w:val="231F20"/>
          <w:spacing w:val="-4"/>
          <w:sz w:val="18"/>
        </w:rPr>
        <w:t>变更</w:t>
      </w:r>
      <w:r>
        <w:rPr>
          <w:color w:val="231F20"/>
          <w:spacing w:val="-1"/>
          <w:sz w:val="18"/>
        </w:rPr>
        <w:t>，恕</w:t>
      </w:r>
      <w:r>
        <w:rPr>
          <w:color w:val="231F20"/>
          <w:spacing w:val="-4"/>
          <w:sz w:val="18"/>
        </w:rPr>
        <w:t>不</w:t>
      </w:r>
      <w:r>
        <w:rPr>
          <w:color w:val="231F20"/>
          <w:sz w:val="18"/>
        </w:rPr>
        <w:t>另行</w:t>
      </w:r>
      <w:r>
        <w:rPr>
          <w:color w:val="231F20"/>
          <w:spacing w:val="-4"/>
          <w:sz w:val="18"/>
        </w:rPr>
        <w:t>通知。</w:t>
      </w:r>
      <w:r>
        <w:rPr>
          <w:color w:val="231F20"/>
          <w:spacing w:val="-1"/>
          <w:sz w:val="18"/>
        </w:rPr>
        <w:t>适用</w:t>
      </w:r>
      <w:r>
        <w:rPr>
          <w:color w:val="231F20"/>
          <w:spacing w:val="-4"/>
          <w:sz w:val="18"/>
        </w:rPr>
        <w:t>特定</w:t>
      </w:r>
      <w:r>
        <w:rPr>
          <w:color w:val="231F20"/>
          <w:sz w:val="18"/>
        </w:rPr>
        <w:t>的</w:t>
      </w:r>
      <w:r>
        <w:rPr>
          <w:color w:val="231F20"/>
          <w:spacing w:val="-4"/>
          <w:sz w:val="18"/>
        </w:rPr>
        <w:t>保修</w:t>
      </w:r>
      <w:r>
        <w:rPr>
          <w:color w:val="231F20"/>
          <w:spacing w:val="-4"/>
          <w:sz w:val="18"/>
        </w:rPr>
        <w:t>补救</w:t>
      </w:r>
      <w:r>
        <w:rPr>
          <w:color w:val="231F20"/>
          <w:spacing w:val="-4"/>
          <w:sz w:val="18"/>
        </w:rPr>
        <w:t>限制</w:t>
      </w:r>
      <w:r>
        <w:rPr>
          <w:color w:val="231F20"/>
          <w:spacing w:val="-4"/>
          <w:sz w:val="18"/>
        </w:rPr>
        <w:t>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致电</w:t>
      </w:r>
      <w:r>
        <w:rPr>
          <w:color w:val="231F20"/>
          <w:spacing w:val="-4"/>
          <w:sz w:val="18"/>
        </w:rPr>
        <w:t>（603）</w:t>
      </w:r>
      <w:r>
        <w:rPr>
          <w:color w:val="231F20"/>
          <w:spacing w:val="-4"/>
          <w:sz w:val="18"/>
        </w:rPr>
        <w:t>456-2011</w:t>
      </w:r>
      <w:r>
        <w:rPr>
          <w:color w:val="231F20"/>
          <w:spacing w:val="-4"/>
          <w:sz w:val="18"/>
        </w:rPr>
        <w:t>或</w:t>
      </w:r>
      <w:r>
        <w:rPr>
          <w:color w:val="231F20"/>
          <w:spacing w:val="-4"/>
          <w:sz w:val="18"/>
        </w:rPr>
        <w:t>访问</w:t>
      </w:r>
      <w:r>
        <w:rPr>
          <w:b/>
          <w:color w:val="5C81AE"/>
          <w:spacing w:val="-4"/>
          <w:sz w:val="18"/>
        </w:rPr>
        <w:t>madgetech.com</w:t>
      </w:r>
      <w:r>
        <w:rPr>
          <w:color w:val="231F20"/>
          <w:spacing w:val="-4"/>
          <w:sz w:val="18"/>
        </w:rPr>
        <w:t>了解</w:t>
      </w:r>
      <w:r>
        <w:rPr>
          <w:color w:val="231F20"/>
          <w:spacing w:val="-4"/>
          <w:sz w:val="18"/>
        </w:rPr>
        <w:t>详情。</w:t>
      </w:r>
    </w:p>
    <w:p>
      <w:pPr>
        <w:pStyle w:val="BodyText"/>
        <w:spacing w:before="4"/>
        <w:rPr>
          <w:sz w:val="13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458584</wp:posOffset>
                </wp:positionH>
                <wp:positionV relativeFrom="paragraph">
                  <wp:posOffset>118648</wp:posOffset>
                </wp:positionV>
                <wp:extent cx="3351529" cy="1271270"/>
                <wp:effectExtent l="0" t="0" r="0" b="0"/>
                <wp:wrapTopAndBottom/>
                <wp:docPr id="75" name="文本框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文本框75"/>
                      <wps:cNvSpPr txBox="1"/>
                      <wps:spPr>
                        <a:xfrm>
                          <a:off x="0" y="0"/>
                          <a:ext cx="3351529" cy="1271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5C81AE"/>
                                </w:tcPr>
                                <w:p>
                                  <w:pPr>
                                    <w:pStyle w:val="P68B1DB1-TableParagraph19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测量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测量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4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0至100 mph（0至45 m/s）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决议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0.085 mph（10秒读数间隔）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0"/>
                                    <w:spacing w:before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4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±2.0 mph（0至10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mph）</w:t>
                                  </w:r>
                                </w:p>
                                <w:p>
                                  <w:pPr>
                                    <w:pStyle w:val="P68B1DB1-TableParagraph14"/>
                                    <w:spacing w:before="5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从&gt;10到100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mph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，读数的±2.5%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起步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门槛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每小时</w:t>
                                  </w:r>
                                  <w:r>
                                    <w:rPr>
                                      <w:w w:val="90"/>
                                    </w:rPr>
                                    <w:t>1.75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输入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连接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4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6位可拆卸螺丝端子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3963085</wp:posOffset>
                </wp:positionH>
                <wp:positionV relativeFrom="paragraph">
                  <wp:posOffset>120236</wp:posOffset>
                </wp:positionV>
                <wp:extent cx="3351529" cy="4062095"/>
                <wp:effectExtent l="0" t="0" r="0" b="0"/>
                <wp:wrapTopAndBottom/>
                <wp:docPr id="76" name="文本框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文本框76"/>
                      <wps:cNvSpPr txBox="1"/>
                      <wps:spPr>
                        <a:xfrm>
                          <a:off x="0" y="0"/>
                          <a:ext cx="3351529" cy="406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04"/>
                              <w:gridCol w:w="3770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每秒1次读数，最多每24小时1次读数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包含3.6V锂电池;用户可更换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before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t>取决于频率和占空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比</w:t>
                                  </w:r>
                                </w:p>
                                <w:p>
                                  <w:pPr>
                                    <w:pStyle w:val="P68B1DB1-TableParagraph14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在25 °C和10秒读取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速率</w:t>
                                  </w:r>
                                  <w:r>
                                    <w:t>下，典型值为10个月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3"/>
                                    <w:spacing w:before="1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4"/>
                                    <w:spacing w:line="244" w:lineRule="auto"/>
                                    <w:ind w:right="15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±1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分钟/月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ºC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（77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ºF）</w:t>
                                  </w:r>
                                  <w:r>
                                    <w:t>（独立模式）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USB（需要接口电缆）; 115，200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波特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5"/>
                                    <w:spacing w:line="244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4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Windows XP SP3或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5"/>
                                    <w:spacing w:line="244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软件兼容性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line="244" w:lineRule="auto"/>
                                    <w:ind w:right="6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标准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版本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2.03.06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更新版本</w:t>
                                  </w:r>
                                  <w:r>
                                    <w:t>安全软件版本4.1.3.0或更新版本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3"/>
                                    <w:spacing w:line="244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风速计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工作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环境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4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55 °C至+60 °C（-67 °F至+150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4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0% RH至100%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line="244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</w:rPr>
                                    <w:t>数据记录器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操作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环境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-20 °C至+60 °C（-4 °F至+140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°F）</w:t>
                                  </w:r>
                                </w:p>
                                <w:p>
                                  <w:pPr>
                                    <w:pStyle w:val="P68B1DB1-TableParagraph14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0% RH至100%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IP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等级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21"/>
                                    <w:rPr>
                                      <w:sz w:val="16"/>
                                    </w:rPr>
                                  </w:pPr>
                                  <w:r>
                                    <w:t>IP65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3"/>
                                    <w:spacing w:line="244" w:lineRule="auto"/>
                                    <w:ind w:righ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外壳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4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2.9英寸x 5.8英寸x 1.5英寸（74 mm x 148 mm x 39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mm）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3"/>
                                    <w:spacing w:line="244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风速计尺寸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2.1英寸高x 7.53英寸直径</w:t>
                                  </w:r>
                                </w:p>
                                <w:p>
                                  <w:pPr>
                                    <w:pStyle w:val="P68B1DB1-TableParagraph14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(54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mm高x 192 mm直径）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（不包括安装柱）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rPr>
                                      <w:sz w:val="16"/>
                                    </w:rPr>
                                  </w:pPr>
                                  <w:r>
                                    <w:t>聚碳酸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</w:tcPr>
                                <w:p>
                                  <w:pPr>
                                    <w:pStyle w:val="P68B1DB1-TableParagraph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</w:tcPr>
                                <w:p>
                                  <w:pPr>
                                    <w:pStyle w:val="P68B1DB1-TableParagraph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18.1盎司（513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504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批准</w:t>
                                  </w:r>
                                </w:p>
                              </w:tc>
                              <w:tc>
                                <w:tcPr>
                                  <w:tcW w:w="377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3"/>
                                    <w:rPr>
                                      <w:sz w:val="16"/>
                                    </w:rPr>
                                  </w:pPr>
                                  <w:r>
                                    <w:t>CE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spacing w:line="244" w:lineRule="auto" w:before="101"/>
        <w:ind w:left="6242" w:right="410" w:firstLine="0"/>
        <w:jc w:val="left"/>
        <w:rPr>
          <w:sz w:val="16"/>
        </w:rPr>
        <w:pStyle w:val="P68B1DB1-Normal24"/>
      </w:pPr>
      <w:r>
        <w:rPr>
          <w:color w:val="E12726"/>
        </w:rPr>
        <w:t>电池损坏：</w:t>
      </w:r>
      <w:r>
        <w:rPr>
          <w:color w:val="231F20"/>
        </w:rPr>
        <w:t>火灾、爆炸和严重烧伤危险。请勿</w:t>
      </w:r>
      <w:r>
        <w:rPr>
          <w:color w:val="231F20"/>
          <w:spacing w:val="-2"/>
        </w:rPr>
        <w:t xml:space="preserve">再充电、分解、加热至100 °C（212 °F）以上、焚烧、压碎或</w:t>
      </w:r>
      <w:r>
        <w:rPr>
          <w:color w:val="231F20"/>
        </w:rPr>
        <w:t>将内容物暴露于水中。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6"/>
        <w:rPr>
          <w:sz w:val="26"/>
        </w:rPr>
      </w:pPr>
    </w:p>
    <w:p>
      <w:pPr>
        <w:pStyle w:val="P68B1DB1-Heading125"/>
        <w:ind w:left="719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487" w:hRule="atLeast"/>
        </w:trPr>
        <w:tc>
          <w:tcPr>
            <w:tcW w:w="2474" w:type="dxa"/>
          </w:tcPr>
          <w:p>
            <w:pPr>
              <w:pStyle w:val="P68B1DB1-TableParagraph13"/>
              <w:spacing w:before="151"/>
              <w:ind w:left="80"/>
              <w:rPr>
                <w:b/>
                <w:sz w:val="16"/>
              </w:rPr>
            </w:pPr>
            <w:r>
              <w:rPr>
                <w:spacing w:val="-2"/>
              </w:rPr>
              <w:t>Wind101A</w:t>
            </w:r>
            <w:r>
              <w:rPr>
                <w:spacing w:val="-2"/>
              </w:rPr>
              <w:t>（25</w:t>
            </w:r>
            <w:r>
              <w:rPr>
                <w:spacing w:val="-5"/>
              </w:rPr>
              <w:t>英尺）</w:t>
            </w:r>
          </w:p>
        </w:tc>
        <w:tc>
          <w:tcPr>
            <w:tcW w:w="2048" w:type="dxa"/>
          </w:tcPr>
          <w:p>
            <w:pPr>
              <w:pStyle w:val="P68B1DB1-TableParagraph14"/>
              <w:spacing w:before="151"/>
              <w:ind w:left="8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901870-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4"/>
              <w:spacing w:line="244" w:lineRule="auto"/>
              <w:ind w:left="80"/>
              <w:rPr>
                <w:sz w:val="16"/>
              </w:rPr>
            </w:pPr>
            <w:r>
              <w:rPr>
                <w:spacing w:val="-4"/>
              </w:rPr>
              <w:t>风速数据记录器。包括带传感器连接电缆（25英尺）的3杯风速计、</w:t>
            </w:r>
            <w:r>
              <w:t>防风雨</w:t>
            </w:r>
            <w:r>
              <w:t>外壳</w:t>
            </w:r>
            <w:r>
              <w:t>和</w:t>
            </w:r>
            <w:r>
              <w:t xml:space="preserve">IFC 200</w:t>
            </w:r>
            <w:r>
              <w:t>（USB）</w:t>
            </w:r>
            <w:r>
              <w:t>接口</w:t>
            </w:r>
            <w:r>
              <w:t>电缆。</w:t>
            </w:r>
          </w:p>
        </w:tc>
      </w:tr>
      <w:tr>
        <w:trPr>
          <w:trHeight w:val="487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3"/>
              <w:spacing w:before="151"/>
              <w:ind w:left="80"/>
              <w:rPr>
                <w:b/>
                <w:sz w:val="16"/>
              </w:rPr>
            </w:pPr>
            <w:r>
              <w:rPr>
                <w:spacing w:val="-2"/>
              </w:rPr>
              <w:t>Wind101A</w:t>
            </w:r>
            <w:r>
              <w:rPr>
                <w:spacing w:val="-2"/>
              </w:rPr>
              <w:t>（50</w:t>
            </w:r>
            <w:r>
              <w:rPr>
                <w:spacing w:val="-5"/>
              </w:rPr>
              <w:t>英尺）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4"/>
              <w:spacing w:before="151"/>
              <w:ind w:left="8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901877-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4"/>
              <w:spacing w:line="244" w:lineRule="auto"/>
              <w:ind w:left="80"/>
              <w:rPr>
                <w:sz w:val="16"/>
              </w:rPr>
            </w:pPr>
            <w:r>
              <w:rPr>
                <w:spacing w:val="-4"/>
              </w:rPr>
              <w:t>风速数据记录器。包括带传感器连接电缆（50英尺）的3杯风速计、</w:t>
            </w:r>
            <w:r>
              <w:t>防风雨</w:t>
            </w:r>
            <w:r>
              <w:t>外壳</w:t>
            </w:r>
            <w:r>
              <w:t>和</w:t>
            </w:r>
            <w:r>
              <w:t xml:space="preserve">IFC 200</w:t>
            </w:r>
            <w:r>
              <w:t>（USB）</w:t>
            </w:r>
            <w:r>
              <w:t>接口</w:t>
            </w:r>
            <w:r>
              <w:t>电缆。</w:t>
            </w:r>
          </w:p>
        </w:tc>
      </w:tr>
      <w:tr>
        <w:trPr>
          <w:trHeight w:val="487" w:hRule="atLeast"/>
        </w:trPr>
        <w:tc>
          <w:tcPr>
            <w:tcW w:w="2474" w:type="dxa"/>
          </w:tcPr>
          <w:p>
            <w:pPr>
              <w:pStyle w:val="P68B1DB1-TableParagraph13"/>
              <w:spacing w:before="151"/>
              <w:ind w:left="80"/>
              <w:rPr>
                <w:b/>
                <w:sz w:val="16"/>
              </w:rPr>
            </w:pPr>
            <w:r>
              <w:rPr>
                <w:spacing w:val="-2"/>
              </w:rPr>
              <w:t>Wind101A（100</w:t>
            </w:r>
            <w:r>
              <w:rPr>
                <w:spacing w:val="-5"/>
              </w:rPr>
              <w:t>英尺）</w:t>
            </w:r>
          </w:p>
        </w:tc>
        <w:tc>
          <w:tcPr>
            <w:tcW w:w="2048" w:type="dxa"/>
          </w:tcPr>
          <w:p>
            <w:pPr>
              <w:pStyle w:val="P68B1DB1-TableParagraph14"/>
              <w:spacing w:before="151"/>
              <w:ind w:left="8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901872-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4"/>
              <w:spacing w:line="244" w:lineRule="auto"/>
              <w:ind w:left="80"/>
              <w:rPr>
                <w:sz w:val="16"/>
              </w:rPr>
            </w:pPr>
            <w:r>
              <w:rPr>
                <w:spacing w:val="-4"/>
              </w:rPr>
              <w:t>风速数据记录器。包括带传感器连接电缆（100英尺）的3杯风速计、</w:t>
            </w:r>
            <w:r>
              <w:t>防风雨</w:t>
            </w:r>
            <w:r>
              <w:t>外壳</w:t>
            </w:r>
            <w:r>
              <w:t>和</w:t>
            </w:r>
            <w:r>
              <w:t xml:space="preserve">IFC 200</w:t>
            </w:r>
            <w:r>
              <w:t>（USB）</w:t>
            </w:r>
            <w:r>
              <w:t>接口</w:t>
            </w:r>
            <w:r>
              <w:t>电缆。</w:t>
            </w:r>
          </w:p>
        </w:tc>
      </w:tr>
      <w:tr>
        <w:trPr>
          <w:trHeight w:val="487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3"/>
              <w:spacing w:before="151"/>
              <w:ind w:left="80"/>
              <w:rPr>
                <w:b/>
                <w:sz w:val="16"/>
              </w:rPr>
            </w:pPr>
            <w:r>
              <w:rPr>
                <w:spacing w:val="-2"/>
              </w:rPr>
              <w:t>Wind101A（150</w:t>
            </w:r>
            <w:r>
              <w:rPr>
                <w:spacing w:val="-5"/>
              </w:rPr>
              <w:t>英尺）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4"/>
              <w:spacing w:before="151"/>
              <w:ind w:left="8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901874-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4"/>
              <w:spacing w:line="244" w:lineRule="auto"/>
              <w:ind w:left="80"/>
              <w:rPr>
                <w:sz w:val="16"/>
              </w:rPr>
            </w:pPr>
            <w:r>
              <w:rPr>
                <w:spacing w:val="-4"/>
              </w:rPr>
              <w:t>风速数据记录器。包括带传感器连接电缆（150英尺）的3杯风速计、</w:t>
            </w:r>
            <w:r>
              <w:t>防风雨</w:t>
            </w:r>
            <w:r>
              <w:t>外壳</w:t>
            </w:r>
            <w:r>
              <w:t>和</w:t>
            </w:r>
            <w:r>
              <w:t xml:space="preserve">IFC 200</w:t>
            </w:r>
            <w:r>
              <w:t>（USB）</w:t>
            </w:r>
            <w:r>
              <w:t>接口</w:t>
            </w:r>
            <w:r>
              <w:t>电缆。</w:t>
            </w:r>
          </w:p>
        </w:tc>
      </w:tr>
      <w:tr>
        <w:trPr>
          <w:trHeight w:val="287" w:hRule="atLeast"/>
        </w:trPr>
        <w:tc>
          <w:tcPr>
            <w:tcW w:w="2474" w:type="dxa"/>
          </w:tcPr>
          <w:p>
            <w:pPr>
              <w:pStyle w:val="P68B1DB1-TableParagraph26"/>
              <w:ind w:left="80"/>
              <w:rPr>
                <w:b/>
                <w:sz w:val="16"/>
              </w:rPr>
            </w:pPr>
            <w:r>
              <w:t>LTC-7PN</w:t>
            </w:r>
          </w:p>
        </w:tc>
        <w:tc>
          <w:tcPr>
            <w:tcW w:w="2048" w:type="dxa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rPr>
                <w:spacing w:val="-4"/>
              </w:rPr>
              <w:t>PN</w:t>
            </w:r>
            <w:r>
              <w:rPr>
                <w:spacing w:val="-4"/>
              </w:rPr>
              <w:t>900352-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4"/>
              <w:ind w:left="80"/>
              <w:rPr>
                <w:sz w:val="16"/>
              </w:rPr>
            </w:pPr>
            <w:r>
              <w:rPr>
                <w:spacing w:val="-2"/>
              </w:rPr>
              <w:t>用于Wind101A的替换电池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72"/>
        <w:rPr>
          <w:sz w:val="26"/>
        </w:rPr>
      </w:pPr>
    </w:p>
    <w:p>
      <w:pPr>
        <w:pStyle w:val="P68B1DB1-ListParagraph27"/>
        <w:numPr>
          <w:ilvl w:val="0"/>
          <w:numId w:val="2"/>
        </w:numPr>
        <w:tabs>
          <w:tab w:pos="706" w:val="left" w:leader="none"/>
        </w:tabs>
        <w:spacing w:line="240" w:lineRule="auto" w:before="0" w:after="0"/>
        <w:ind w:left="706" w:right="0" w:hanging="144"/>
        <w:jc w:val="left"/>
        <w:rPr>
          <w:rFonts w:ascii="Arial" w:hAnsi="Arial"/>
          <w:sz w:val="24"/>
        </w:rPr>
      </w:pPr>
      <w:r>
        <w:t xml:space="preserve">电话：+86 755-8420 0058 ■传真：+86 755-2822 5583 ■</w:t>
      </w:r>
      <w:hyperlink r:id="rId17">
        <w:r>
          <w:t>E-mail:sales@eofirm.com</w:t>
        </w:r>
      </w:hyperlink>
      <w:r>
        <w:rPr>
          <w:spacing w:val="-2"/>
        </w:rPr>
        <w:t>■</w:t>
      </w:r>
      <w:hyperlink r:id="rId18">
        <w:r>
          <w:rPr>
            <w:spacing w:val="-2"/>
          </w:rPr>
          <w:t>http://www.eofirm.com</w:t>
        </w:r>
      </w:hyperlink>
    </w:p>
    <w:sectPr>
      <w:pgSz w:w="12240" w:h="15840"/>
      <w:pgMar w:top="2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■"/>
      <w:lvlJc w:val="left"/>
      <w:pPr>
        <w:ind w:left="708" w:hanging="14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8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2" w:hanging="14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29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0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60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50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41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314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607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528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79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ListParagraph2">
    <w:name w:val="P68B1DB1-ListParagraph2"/>
    <w:basedOn w:val="ListParagraph"/>
    <w:rPr>
      <w:color w:val="414042"/>
      <w:sz w:val="20"/>
    </w:rPr>
  </w:style>
  <w:style w:type="paragraph" w:styleId="P68B1DB1-BodyText3">
    <w:name w:val="P68B1DB1-BodyText3"/>
    <w:basedOn w:val="BodyText"/>
    <w:rPr>
      <w:color w:val="414042"/>
    </w:rPr>
  </w:style>
  <w:style w:type="paragraph" w:styleId="P68B1DB1-Normal4">
    <w:name w:val="P68B1DB1-Normal4"/>
    <w:basedOn w:val="Normal"/>
    <w:rPr>
      <w:rFonts w:ascii="Tahoma"/>
      <w:color w:val="002A5C"/>
      <w:sz w:val="28"/>
    </w:rPr>
  </w:style>
  <w:style w:type="paragraph" w:styleId="P68B1DB1-Normal5">
    <w:name w:val="P68B1DB1-Normal5"/>
    <w:basedOn w:val="Normal"/>
    <w:rPr>
      <w:b/>
      <w:color w:val="FFFFFF"/>
      <w:spacing w:val="-10"/>
      <w:sz w:val="21"/>
    </w:rPr>
  </w:style>
  <w:style w:type="paragraph" w:styleId="P68B1DB1-Heading16">
    <w:name w:val="P68B1DB1-Heading16"/>
    <w:basedOn w:val="Heading1"/>
    <w:rPr>
      <w:color w:val="002A5C"/>
      <w:spacing w:val="-2"/>
      <w:w w:val="105"/>
    </w:rPr>
  </w:style>
  <w:style w:type="paragraph" w:styleId="P68B1DB1-ListParagraph7">
    <w:name w:val="P68B1DB1-ListParagraph7"/>
    <w:basedOn w:val="ListParagraph"/>
    <w:rPr>
      <w:color w:val="414042"/>
      <w:spacing w:val="-2"/>
      <w:sz w:val="20"/>
    </w:rPr>
  </w:style>
  <w:style w:type="paragraph" w:styleId="P68B1DB1-Normal8">
    <w:name w:val="P68B1DB1-Normal8"/>
    <w:basedOn w:val="Normal"/>
    <w:rPr>
      <w:rFonts w:ascii="Tahoma"/>
      <w:color w:val="FFFFFF"/>
      <w:spacing w:val="-2"/>
      <w:sz w:val="60"/>
    </w:rPr>
  </w:style>
  <w:style w:type="paragraph" w:styleId="P68B1DB1-Normal9">
    <w:name w:val="P68B1DB1-Normal9"/>
    <w:basedOn w:val="Normal"/>
    <w:rPr>
      <w:color w:val="FFFFFF"/>
      <w:sz w:val="36"/>
    </w:rPr>
  </w:style>
  <w:style w:type="paragraph" w:styleId="P68B1DB1-Normal10">
    <w:name w:val="P68B1DB1-Normal10"/>
    <w:basedOn w:val="Normal"/>
    <w:rPr>
      <w:rFonts w:ascii="Tahoma"/>
      <w:color w:val="898A8D"/>
      <w:spacing w:val="-2"/>
      <w:w w:val="105"/>
      <w:sz w:val="19"/>
    </w:rPr>
  </w:style>
  <w:style w:type="paragraph" w:styleId="P68B1DB1-Normal11">
    <w:name w:val="P68B1DB1-Normal11"/>
    <w:basedOn w:val="Normal"/>
    <w:rPr>
      <w:rFonts w:ascii="Tahoma"/>
      <w:color w:val="FFFFFF"/>
      <w:spacing w:val="-2"/>
      <w:sz w:val="36"/>
    </w:rPr>
  </w:style>
  <w:style w:type="paragraph" w:styleId="P68B1DB1-TableParagraph12">
    <w:name w:val="P68B1DB1-TableParagraph12"/>
    <w:basedOn w:val="TableParagraph"/>
    <w:rPr>
      <w:b/>
      <w:color w:val="FFFFFF"/>
      <w:spacing w:val="-2"/>
      <w:w w:val="105"/>
      <w:sz w:val="20"/>
    </w:rPr>
  </w:style>
  <w:style w:type="paragraph" w:styleId="P68B1DB1-TableParagraph13">
    <w:name w:val="P68B1DB1-TableParagraph13"/>
    <w:basedOn w:val="TableParagraph"/>
    <w:rPr>
      <w:b/>
      <w:color w:val="231F20"/>
      <w:sz w:val="16"/>
    </w:rPr>
  </w:style>
  <w:style w:type="paragraph" w:styleId="P68B1DB1-TableParagraph14">
    <w:name w:val="P68B1DB1-TableParagraph14"/>
    <w:basedOn w:val="TableParagraph"/>
    <w:rPr>
      <w:color w:val="231F20"/>
      <w:sz w:val="16"/>
    </w:rPr>
  </w:style>
  <w:style w:type="paragraph" w:styleId="P68B1DB1-TableParagraph15">
    <w:name w:val="P68B1DB1-TableParagraph15"/>
    <w:basedOn w:val="TableParagraph"/>
    <w:rPr>
      <w:b/>
      <w:color w:val="231F20"/>
      <w:w w:val="105"/>
      <w:sz w:val="16"/>
    </w:rPr>
  </w:style>
  <w:style w:type="paragraph" w:styleId="P68B1DB1-TableParagraph16">
    <w:name w:val="P68B1DB1-TableParagraph16"/>
    <w:basedOn w:val="TableParagraph"/>
    <w:rPr>
      <w:b/>
      <w:color w:val="231F20"/>
      <w:spacing w:val="-2"/>
      <w:sz w:val="16"/>
    </w:rPr>
  </w:style>
  <w:style w:type="paragraph" w:styleId="P68B1DB1-TableParagraph17">
    <w:name w:val="P68B1DB1-TableParagraph17"/>
    <w:basedOn w:val="TableParagraph"/>
    <w:rPr>
      <w:color w:val="231F20"/>
      <w:spacing w:val="-5"/>
      <w:sz w:val="16"/>
    </w:rPr>
  </w:style>
  <w:style w:type="paragraph" w:styleId="P68B1DB1-TableParagraph18">
    <w:name w:val="P68B1DB1-TableParagraph18"/>
    <w:basedOn w:val="TableParagraph"/>
    <w:rPr>
      <w:b/>
      <w:color w:val="231F20"/>
      <w:spacing w:val="-4"/>
      <w:w w:val="110"/>
      <w:sz w:val="16"/>
    </w:rPr>
  </w:style>
  <w:style w:type="paragraph" w:styleId="P68B1DB1-TableParagraph19">
    <w:name w:val="P68B1DB1-TableParagraph19"/>
    <w:basedOn w:val="TableParagraph"/>
    <w:rPr>
      <w:b/>
      <w:color w:val="FFFFFF"/>
      <w:spacing w:val="-2"/>
      <w:sz w:val="20"/>
    </w:rPr>
  </w:style>
  <w:style w:type="paragraph" w:styleId="P68B1DB1-TableParagraph20">
    <w:name w:val="P68B1DB1-TableParagraph20"/>
    <w:basedOn w:val="TableParagraph"/>
    <w:rPr>
      <w:b/>
      <w:color w:val="231F20"/>
      <w:spacing w:val="-2"/>
      <w:w w:val="105"/>
      <w:sz w:val="16"/>
    </w:rPr>
  </w:style>
  <w:style w:type="paragraph" w:styleId="P68B1DB1-TableParagraph21">
    <w:name w:val="P68B1DB1-TableParagraph21"/>
    <w:basedOn w:val="TableParagraph"/>
    <w:rPr>
      <w:color w:val="231F20"/>
      <w:spacing w:val="-4"/>
      <w:sz w:val="16"/>
    </w:rPr>
  </w:style>
  <w:style w:type="paragraph" w:styleId="P68B1DB1-TableParagraph22">
    <w:name w:val="P68B1DB1-TableParagraph22"/>
    <w:basedOn w:val="TableParagraph"/>
    <w:rPr>
      <w:color w:val="231F20"/>
      <w:spacing w:val="-2"/>
      <w:sz w:val="16"/>
    </w:rPr>
  </w:style>
  <w:style w:type="paragraph" w:styleId="P68B1DB1-TableParagraph23">
    <w:name w:val="P68B1DB1-TableParagraph23"/>
    <w:basedOn w:val="TableParagraph"/>
    <w:rPr>
      <w:color w:val="231F20"/>
      <w:spacing w:val="-5"/>
      <w:w w:val="105"/>
      <w:sz w:val="16"/>
    </w:rPr>
  </w:style>
  <w:style w:type="paragraph" w:styleId="P68B1DB1-Normal24">
    <w:name w:val="P68B1DB1-Normal24"/>
    <w:basedOn w:val="Normal"/>
    <w:rPr>
      <w:sz w:val="16"/>
    </w:rPr>
  </w:style>
  <w:style w:type="paragraph" w:styleId="P68B1DB1-Heading125">
    <w:name w:val="P68B1DB1-Heading125"/>
    <w:basedOn w:val="Heading1"/>
    <w:rPr>
      <w:color w:val="002A5C"/>
    </w:rPr>
  </w:style>
  <w:style w:type="paragraph" w:styleId="P68B1DB1-TableParagraph26">
    <w:name w:val="P68B1DB1-TableParagraph26"/>
    <w:basedOn w:val="TableParagraph"/>
    <w:rPr>
      <w:b/>
      <w:color w:val="231F20"/>
      <w:spacing w:val="-5"/>
      <w:w w:val="105"/>
      <w:sz w:val="16"/>
    </w:rPr>
  </w:style>
  <w:style w:type="paragraph" w:styleId="P68B1DB1-ListParagraph27">
    <w:name w:val="P68B1DB1-ListParagraph27"/>
    <w:basedOn w:val="ListParagraph"/>
    <w:rPr>
      <w:rFonts w:ascii="Arial" w:hAnsi="Arial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2024-11-18T06:02:34Z</dcterms:created>
  <dcterms:modified xsi:type="dcterms:W3CDTF">2024-11-18T06:02:34Z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15.0</vt:lpwstr>
  </property>
</Properties>
</file>